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6407"/>
        <w:gridCol w:w="725"/>
      </w:tblGrid>
      <w:tr w:rsidR="003F440C" w14:paraId="25C88420" w14:textId="77777777" w:rsidTr="00FD4F42">
        <w:trPr>
          <w:trHeight w:val="572"/>
        </w:trPr>
        <w:tc>
          <w:tcPr>
            <w:tcW w:w="811" w:type="pct"/>
            <w:vAlign w:val="center"/>
          </w:tcPr>
          <w:p w14:paraId="177DC66A" w14:textId="77777777" w:rsidR="003F440C" w:rsidRDefault="00A75116">
            <w:pPr>
              <w:spacing w:line="360" w:lineRule="exact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评分项</w:t>
            </w:r>
          </w:p>
        </w:tc>
        <w:tc>
          <w:tcPr>
            <w:tcW w:w="3763" w:type="pct"/>
            <w:vAlign w:val="center"/>
          </w:tcPr>
          <w:p w14:paraId="4F319DC2" w14:textId="77777777" w:rsidR="003F440C" w:rsidRDefault="00A75116">
            <w:pPr>
              <w:spacing w:line="360" w:lineRule="exact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评分标准</w:t>
            </w:r>
          </w:p>
        </w:tc>
        <w:tc>
          <w:tcPr>
            <w:tcW w:w="426" w:type="pct"/>
            <w:vAlign w:val="center"/>
          </w:tcPr>
          <w:p w14:paraId="3D7DFFBB" w14:textId="77777777" w:rsidR="003F440C" w:rsidRDefault="00A75116">
            <w:pPr>
              <w:spacing w:line="360" w:lineRule="exact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</w:tr>
      <w:tr w:rsidR="003F440C" w14:paraId="26FC305D" w14:textId="77777777" w:rsidTr="00FD4F42">
        <w:trPr>
          <w:trHeight w:val="416"/>
        </w:trPr>
        <w:tc>
          <w:tcPr>
            <w:tcW w:w="811" w:type="pct"/>
            <w:vAlign w:val="center"/>
          </w:tcPr>
          <w:p w14:paraId="18817547" w14:textId="77777777" w:rsidR="003F440C" w:rsidRDefault="00A75116" w:rsidP="006C4EC5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价格分值</w:t>
            </w:r>
          </w:p>
          <w:p w14:paraId="397CDA5E" w14:textId="16AA5A8B" w:rsidR="003F440C" w:rsidRDefault="00A75116" w:rsidP="006C4EC5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C04538"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34DDD294" w14:textId="67F695CE" w:rsidR="005062A6" w:rsidRPr="005062A6" w:rsidRDefault="005062A6">
            <w:pPr>
              <w:spacing w:line="360" w:lineRule="exact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（1）</w:t>
            </w:r>
            <w:r w:rsidRPr="005062A6">
              <w:rPr>
                <w:rFonts w:ascii="宋体" w:eastAsia="宋体" w:hAnsi="宋体" w:hint="eastAsia"/>
                <w:b/>
                <w:bCs/>
                <w:szCs w:val="21"/>
              </w:rPr>
              <w:t>报价（30分）</w:t>
            </w:r>
          </w:p>
          <w:p w14:paraId="68B3E0FC" w14:textId="051E8DA0" w:rsidR="003F440C" w:rsidRDefault="005062A6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  <w:bookmarkStart w:id="0" w:name="OLE_LINK82"/>
            <w:r w:rsidRPr="005062A6">
              <w:rPr>
                <w:rFonts w:ascii="宋体" w:eastAsia="宋体" w:hAnsi="宋体" w:hint="eastAsia"/>
                <w:szCs w:val="21"/>
              </w:rPr>
              <w:t>采用低价优先法计算，即满足采购文件要求且应答价格最低的应答报价为评标基准价，其价格分为满分。其他供应商的价格分统一按照下列公式计算（小数点保留两位，四舍五入）：应答报价得分</w:t>
            </w:r>
            <w:r>
              <w:rPr>
                <w:rFonts w:ascii="宋体" w:eastAsia="宋体" w:hAnsi="宋体" w:hint="eastAsia"/>
                <w:szCs w:val="21"/>
              </w:rPr>
              <w:t>=</w:t>
            </w:r>
            <w:r w:rsidRPr="005062A6">
              <w:rPr>
                <w:rFonts w:ascii="宋体" w:eastAsia="宋体" w:hAnsi="宋体"/>
                <w:szCs w:val="21"/>
              </w:rPr>
              <w:t>（评审基准价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 w:rsidRPr="005062A6">
              <w:rPr>
                <w:rFonts w:ascii="宋体" w:eastAsia="宋体" w:hAnsi="宋体"/>
                <w:szCs w:val="21"/>
              </w:rPr>
              <w:t>应答报价）</w:t>
            </w:r>
            <w:r>
              <w:rPr>
                <w:rFonts w:ascii="宋体" w:eastAsia="宋体" w:hAnsi="宋体" w:hint="eastAsia"/>
                <w:szCs w:val="21"/>
              </w:rPr>
              <w:t>*30</w:t>
            </w:r>
            <w:bookmarkEnd w:id="0"/>
            <w:r w:rsidRPr="005062A6">
              <w:rPr>
                <w:rFonts w:ascii="宋体" w:eastAsia="宋体" w:hAnsi="宋体"/>
                <w:szCs w:val="21"/>
              </w:rPr>
              <w:t></w:t>
            </w:r>
            <w:r w:rsidRPr="005062A6">
              <w:rPr>
                <w:rFonts w:ascii="宋体" w:eastAsia="宋体" w:hAnsi="宋体"/>
                <w:szCs w:val="21"/>
              </w:rPr>
              <w:t></w:t>
            </w:r>
          </w:p>
        </w:tc>
        <w:tc>
          <w:tcPr>
            <w:tcW w:w="426" w:type="pct"/>
            <w:vAlign w:val="center"/>
          </w:tcPr>
          <w:p w14:paraId="57CB22A0" w14:textId="77777777" w:rsidR="003F440C" w:rsidRDefault="00A75116" w:rsidP="00C62D6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</w:tr>
      <w:tr w:rsidR="000271CA" w14:paraId="3295C605" w14:textId="77777777" w:rsidTr="00FD4F42">
        <w:trPr>
          <w:trHeight w:val="1231"/>
        </w:trPr>
        <w:tc>
          <w:tcPr>
            <w:tcW w:w="811" w:type="pct"/>
            <w:vMerge w:val="restart"/>
            <w:vAlign w:val="center"/>
          </w:tcPr>
          <w:p w14:paraId="3C1E6EFA" w14:textId="77777777" w:rsidR="000271CA" w:rsidRDefault="000271CA" w:rsidP="006C4EC5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技术方案</w:t>
            </w:r>
          </w:p>
          <w:p w14:paraId="2D89286E" w14:textId="07C5E550" w:rsidR="000271CA" w:rsidRDefault="000271CA" w:rsidP="006C4EC5">
            <w:pPr>
              <w:pStyle w:val="a3"/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（3</w:t>
            </w:r>
            <w:r w:rsidR="00C04538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38222135" w14:textId="5002C75D" w:rsidR="000271CA" w:rsidRPr="005062A6" w:rsidRDefault="005062A6" w:rsidP="00FD4F42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（1）</w:t>
            </w:r>
            <w:r w:rsidR="000271CA" w:rsidRPr="005062A6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维保方案（10分）</w:t>
            </w:r>
          </w:p>
          <w:p w14:paraId="6E0B32DA" w14:textId="2AAEE55E" w:rsidR="000271CA" w:rsidRDefault="000271CA" w:rsidP="00FD4F42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D4F42">
              <w:rPr>
                <w:rFonts w:ascii="宋体" w:eastAsia="宋体" w:hAnsi="宋体" w:hint="eastAsia"/>
                <w:color w:val="000000" w:themeColor="text1"/>
                <w:szCs w:val="21"/>
              </w:rPr>
              <w:t>根据</w:t>
            </w:r>
            <w:r w:rsidR="005062A6">
              <w:rPr>
                <w:rFonts w:ascii="宋体" w:eastAsia="宋体" w:hAnsi="宋体" w:hint="eastAsia"/>
                <w:color w:val="000000" w:themeColor="text1"/>
                <w:szCs w:val="21"/>
              </w:rPr>
              <w:t>供应商</w:t>
            </w:r>
            <w:r w:rsidRPr="00FD4F42">
              <w:rPr>
                <w:rFonts w:ascii="宋体" w:eastAsia="宋体" w:hAnsi="宋体" w:hint="eastAsia"/>
                <w:color w:val="000000" w:themeColor="text1"/>
                <w:szCs w:val="21"/>
              </w:rPr>
              <w:t>针对本项目实验室全系统维保的方案完整性、针对性、可实施性评分：</w:t>
            </w:r>
          </w:p>
          <w:p w14:paraId="757FDEA7" w14:textId="5687016F" w:rsidR="000271CA" w:rsidRDefault="000271CA" w:rsidP="00FD4F42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方案完整覆盖通风柜系统、纯水终端、超净实验室、特气管路、气体报警、电气电路6大核心模块，每个模块有明确的维保流程、周期、标准、故障处置方案，可实施性强：10分</w:t>
            </w:r>
          </w:p>
          <w:p w14:paraId="3066ADC8" w14:textId="33C97462" w:rsidR="000271CA" w:rsidRDefault="000271CA" w:rsidP="00FD4F42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方案</w:t>
            </w:r>
            <w:r w:rsidR="009F730B">
              <w:rPr>
                <w:rFonts w:ascii="宋体" w:eastAsia="宋体" w:hAnsi="宋体" w:hint="eastAsia"/>
                <w:color w:val="000000" w:themeColor="text1"/>
                <w:szCs w:val="21"/>
              </w:rPr>
              <w:t>比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较完整，基本满足需求：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p w14:paraId="0FCFFED6" w14:textId="60657337" w:rsidR="000271CA" w:rsidRDefault="000271CA" w:rsidP="00FD4F42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方案有缺失</w:t>
            </w:r>
            <w:r w:rsidR="007E7660">
              <w:rPr>
                <w:rFonts w:ascii="宋体" w:eastAsia="宋体" w:hAnsi="宋体" w:hint="eastAsia"/>
                <w:color w:val="000000" w:themeColor="text1"/>
                <w:szCs w:val="21"/>
              </w:rPr>
              <w:t>，可操作性一般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863015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p w14:paraId="01E0DC4E" w14:textId="490881ED" w:rsidR="000271CA" w:rsidRPr="00173982" w:rsidRDefault="000271CA" w:rsidP="00FD4F42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未提供维保方案：0 分</w:t>
            </w:r>
          </w:p>
        </w:tc>
        <w:tc>
          <w:tcPr>
            <w:tcW w:w="426" w:type="pct"/>
            <w:vAlign w:val="center"/>
          </w:tcPr>
          <w:p w14:paraId="2A7055BC" w14:textId="3ED5EEDB" w:rsidR="000271CA" w:rsidRDefault="000271CA" w:rsidP="00C62D6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10</w:t>
            </w:r>
          </w:p>
        </w:tc>
      </w:tr>
      <w:tr w:rsidR="000271CA" w14:paraId="6685B4BB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06DA3B50" w14:textId="098E88B0" w:rsidR="000271CA" w:rsidRDefault="000271CA">
            <w:pPr>
              <w:pStyle w:val="a3"/>
              <w:snapToGrid/>
              <w:spacing w:line="360" w:lineRule="exact"/>
              <w:contextualSpacing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7D221FE9" w14:textId="6C0BEF79" w:rsidR="000271CA" w:rsidRPr="005062A6" w:rsidRDefault="005062A6" w:rsidP="00FD4F42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（2）</w:t>
            </w:r>
            <w:r w:rsidR="000271CA" w:rsidRPr="005062A6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质量保证方案（</w:t>
            </w:r>
            <w:r w:rsidR="00D739C3"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  <w:t>6</w:t>
            </w:r>
            <w:r w:rsidR="000271CA" w:rsidRPr="005062A6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分）</w:t>
            </w:r>
          </w:p>
          <w:p w14:paraId="78061111" w14:textId="4D689466" w:rsidR="000271CA" w:rsidRDefault="000271CA" w:rsidP="00173982">
            <w:pPr>
              <w:pStyle w:val="a4"/>
              <w:spacing w:after="0" w:line="24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根据</w:t>
            </w:r>
            <w:r w:rsidR="005062A6">
              <w:rPr>
                <w:rFonts w:ascii="宋体" w:eastAsia="宋体" w:hAnsi="宋体" w:hint="eastAsia"/>
                <w:color w:val="000000" w:themeColor="text1"/>
                <w:szCs w:val="21"/>
              </w:rPr>
              <w:t>供应商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提供的质量保证方案（含质量管控流程、验收标准、整改机制）进行评价。</w:t>
            </w:r>
          </w:p>
          <w:p w14:paraId="1046D88A" w14:textId="0674635B" w:rsidR="000271CA" w:rsidRDefault="000271CA" w:rsidP="00FD4F42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措施有力、可实施性强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，匹配实验室维保需求：</w:t>
            </w:r>
            <w:r w:rsidR="00D739C3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  <w:bookmarkStart w:id="1" w:name="_GoBack"/>
            <w:bookmarkEnd w:id="1"/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p w14:paraId="4D625F5A" w14:textId="415ACD76" w:rsidR="000271CA" w:rsidRDefault="000271CA" w:rsidP="00FD4F42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方案基本满足需求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：3分</w:t>
            </w:r>
          </w:p>
          <w:p w14:paraId="398B3319" w14:textId="49777A36" w:rsidR="000271CA" w:rsidRPr="00173982" w:rsidRDefault="000271CA" w:rsidP="00FD4F42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未提供方案：0分</w:t>
            </w:r>
          </w:p>
        </w:tc>
        <w:tc>
          <w:tcPr>
            <w:tcW w:w="426" w:type="pct"/>
            <w:vAlign w:val="center"/>
          </w:tcPr>
          <w:p w14:paraId="2C341E93" w14:textId="5D3FDDE3" w:rsidR="000271CA" w:rsidRDefault="00D739C3" w:rsidP="00C62D6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</w:tr>
      <w:tr w:rsidR="000271CA" w14:paraId="0D35AA5B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32736724" w14:textId="77777777" w:rsidR="000271CA" w:rsidRDefault="000271CA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1193FE37" w14:textId="688C3F53" w:rsidR="000271CA" w:rsidRPr="005062A6" w:rsidRDefault="005062A6" w:rsidP="00173982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（3）</w:t>
            </w:r>
            <w:r w:rsidR="000271CA" w:rsidRPr="005062A6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安全保证方案（</w:t>
            </w:r>
            <w:r w:rsidR="00D739C3"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  <w:t>6</w:t>
            </w:r>
            <w:r w:rsidR="000271CA" w:rsidRPr="005062A6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分）</w:t>
            </w:r>
          </w:p>
          <w:p w14:paraId="4BEB2DBA" w14:textId="0CD32E56" w:rsidR="000271CA" w:rsidRDefault="000271CA" w:rsidP="00173982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根据</w:t>
            </w:r>
            <w:r w:rsidR="005062A6">
              <w:rPr>
                <w:rFonts w:ascii="宋体" w:eastAsia="宋体" w:hAnsi="宋体" w:hint="eastAsia"/>
                <w:color w:val="000000" w:themeColor="text1"/>
                <w:szCs w:val="21"/>
              </w:rPr>
              <w:t>供应商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提供的安全保证方案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（含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特种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作业、电气作业、洁净室作业安全管控）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进行评价。</w:t>
            </w:r>
          </w:p>
          <w:p w14:paraId="18461E2D" w14:textId="598D7344" w:rsidR="000271CA" w:rsidRPr="00173982" w:rsidRDefault="000271CA" w:rsidP="00173982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方案具体详实、实施性强，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覆盖所有高危作业场景，安全措施到位：</w:t>
            </w:r>
            <w:r w:rsidR="00D739C3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p w14:paraId="55006383" w14:textId="78FD54AF" w:rsidR="000271CA" w:rsidRPr="00173982" w:rsidRDefault="000271CA" w:rsidP="00173982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方案基本满足需求，有一定可操作性：3分</w:t>
            </w:r>
          </w:p>
          <w:p w14:paraId="0AF67727" w14:textId="458D0A0E" w:rsidR="000271CA" w:rsidRPr="00173982" w:rsidRDefault="000271CA" w:rsidP="00173982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未提供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方案：0分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426" w:type="pct"/>
            <w:vAlign w:val="center"/>
          </w:tcPr>
          <w:p w14:paraId="2C45CF7D" w14:textId="28CCCBA3" w:rsidR="000271CA" w:rsidRDefault="00D739C3" w:rsidP="00C62D6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</w:tr>
      <w:tr w:rsidR="000271CA" w14:paraId="03498B58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5ED52485" w14:textId="77777777" w:rsidR="000271CA" w:rsidRDefault="000271CA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31E6FCC0" w14:textId="0D7569DF" w:rsidR="000271CA" w:rsidRPr="005062A6" w:rsidRDefault="005062A6" w:rsidP="00FB4CAB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5062A6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（4）</w:t>
            </w:r>
            <w:r w:rsidR="000271CA" w:rsidRPr="005062A6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应急预案（</w:t>
            </w:r>
            <w:r w:rsidR="00D739C3"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  <w:t>6</w:t>
            </w:r>
            <w:r w:rsidR="000271CA" w:rsidRPr="005062A6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分）</w:t>
            </w:r>
          </w:p>
          <w:p w14:paraId="057B23F3" w14:textId="6ACCAB07" w:rsidR="000271CA" w:rsidRDefault="000271CA" w:rsidP="00FB4CAB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B4CAB">
              <w:rPr>
                <w:rFonts w:ascii="宋体" w:eastAsia="宋体" w:hAnsi="宋体" w:hint="eastAsia"/>
                <w:color w:val="000000" w:themeColor="text1"/>
                <w:szCs w:val="21"/>
              </w:rPr>
              <w:t>根据</w:t>
            </w:r>
            <w:r w:rsidR="005062A6">
              <w:rPr>
                <w:rFonts w:ascii="宋体" w:eastAsia="宋体" w:hAnsi="宋体" w:hint="eastAsia"/>
                <w:color w:val="000000" w:themeColor="text1"/>
                <w:szCs w:val="21"/>
              </w:rPr>
              <w:t>供应商</w:t>
            </w:r>
            <w:r w:rsidRPr="00FB4CAB">
              <w:rPr>
                <w:rFonts w:ascii="宋体" w:eastAsia="宋体" w:hAnsi="宋体" w:hint="eastAsia"/>
                <w:color w:val="000000" w:themeColor="text1"/>
                <w:szCs w:val="21"/>
              </w:rPr>
              <w:t>提供的应急预案（含特气泄漏、电气故障、通风系统失效、纯水系统故障、超净实验室环境异常等突发场景处置）评分：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对</w:t>
            </w:r>
            <w:r w:rsidR="005062A6">
              <w:rPr>
                <w:rFonts w:ascii="宋体" w:eastAsia="宋体" w:hAnsi="宋体" w:hint="eastAsia"/>
                <w:color w:val="000000" w:themeColor="text1"/>
                <w:szCs w:val="21"/>
              </w:rPr>
              <w:t>供应商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提供的应急预案(突发意外解决措施)进行评价。</w:t>
            </w:r>
          </w:p>
          <w:p w14:paraId="601EDEB8" w14:textId="6A9E5D5B" w:rsidR="000271CA" w:rsidRPr="00FB4CAB" w:rsidRDefault="000271CA" w:rsidP="00FB4CAB">
            <w:pPr>
              <w:pStyle w:val="a4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B4CAB">
              <w:rPr>
                <w:rFonts w:ascii="宋体" w:eastAsia="宋体" w:hAnsi="宋体" w:hint="eastAsia"/>
                <w:color w:val="000000" w:themeColor="text1"/>
                <w:szCs w:val="21"/>
              </w:rPr>
              <w:t>可实施性强、贴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合</w:t>
            </w:r>
            <w:r w:rsidRPr="00FB4CAB">
              <w:rPr>
                <w:rFonts w:ascii="宋体" w:eastAsia="宋体" w:hAnsi="宋体" w:hint="eastAsia"/>
                <w:color w:val="000000" w:themeColor="text1"/>
                <w:szCs w:val="21"/>
              </w:rPr>
              <w:t>本项目需求、科学合理、安全严密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D739C3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  <w:r w:rsidRPr="00FB4CAB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p w14:paraId="1B531096" w14:textId="65B9AEEA" w:rsidR="000271CA" w:rsidRPr="00FB4CAB" w:rsidRDefault="000271CA" w:rsidP="00FB4CAB">
            <w:pPr>
              <w:pStyle w:val="a4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B4CAB">
              <w:rPr>
                <w:rFonts w:ascii="宋体" w:eastAsia="宋体" w:hAnsi="宋体" w:hint="eastAsia"/>
                <w:color w:val="000000" w:themeColor="text1"/>
                <w:szCs w:val="21"/>
              </w:rPr>
              <w:t>可实施、基本满足需求、方案合理性有待提高</w:t>
            </w:r>
            <w:r w:rsidR="00863015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FB4CAB">
              <w:rPr>
                <w:rFonts w:ascii="宋体" w:eastAsia="宋体" w:hAnsi="宋体" w:hint="eastAsia"/>
                <w:color w:val="000000" w:themeColor="text1"/>
                <w:szCs w:val="21"/>
              </w:rPr>
              <w:t>分；</w:t>
            </w:r>
          </w:p>
          <w:p w14:paraId="5CB018DE" w14:textId="63C7506E" w:rsidR="000271CA" w:rsidRPr="00FB4CAB" w:rsidRDefault="000271CA" w:rsidP="00FB4CAB">
            <w:pPr>
              <w:pStyle w:val="a4"/>
              <w:numPr>
                <w:ilvl w:val="0"/>
                <w:numId w:val="4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FB4CAB">
              <w:rPr>
                <w:rFonts w:ascii="宋体" w:eastAsia="宋体" w:hAnsi="宋体" w:hint="eastAsia"/>
                <w:color w:val="000000" w:themeColor="text1"/>
                <w:szCs w:val="21"/>
              </w:rPr>
              <w:t>未提供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预案：0分</w:t>
            </w:r>
          </w:p>
        </w:tc>
        <w:tc>
          <w:tcPr>
            <w:tcW w:w="426" w:type="pct"/>
            <w:vAlign w:val="center"/>
          </w:tcPr>
          <w:p w14:paraId="6AB6D656" w14:textId="0CB815A8" w:rsidR="000271CA" w:rsidRDefault="00D739C3" w:rsidP="00C62D6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</w:tr>
      <w:tr w:rsidR="000271CA" w14:paraId="36738D61" w14:textId="77777777" w:rsidTr="005062A6">
        <w:trPr>
          <w:trHeight w:val="416"/>
        </w:trPr>
        <w:tc>
          <w:tcPr>
            <w:tcW w:w="811" w:type="pct"/>
            <w:vMerge/>
            <w:vAlign w:val="center"/>
          </w:tcPr>
          <w:p w14:paraId="23D20051" w14:textId="77777777" w:rsidR="000271CA" w:rsidRDefault="000271CA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199D5B96" w14:textId="4C67D750" w:rsidR="000271CA" w:rsidRPr="005062A6" w:rsidRDefault="005062A6" w:rsidP="00FB4CAB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bookmarkStart w:id="2" w:name="OLE_LINK80"/>
            <w:r w:rsidRPr="005062A6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（5）</w:t>
            </w:r>
            <w:r w:rsidR="000271CA" w:rsidRPr="005062A6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增值服务方案（</w:t>
            </w:r>
            <w:r w:rsidR="00D739C3"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  <w:t>4</w:t>
            </w:r>
            <w:r w:rsidR="000271CA" w:rsidRPr="005062A6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分）</w:t>
            </w:r>
          </w:p>
          <w:p w14:paraId="44CF4882" w14:textId="63C754B9" w:rsidR="000271CA" w:rsidRDefault="000271CA" w:rsidP="000271CA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0271CA">
              <w:rPr>
                <w:rFonts w:ascii="宋体" w:eastAsia="宋体" w:hAnsi="宋体" w:hint="eastAsia"/>
                <w:szCs w:val="21"/>
              </w:rPr>
              <w:t>根据供应商是否提供采购要求之外的增值服务情况进行打分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0771549C" w14:textId="31AB3E23" w:rsidR="00863015" w:rsidRPr="00863015" w:rsidRDefault="00863015" w:rsidP="00863015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/>
              </w:rPr>
            </w:pPr>
            <w:r w:rsidRPr="00863015">
              <w:rPr>
                <w:rFonts w:ascii="宋体" w:eastAsia="宋体" w:hAnsi="宋体" w:hint="eastAsia"/>
                <w:color w:val="000000"/>
              </w:rPr>
              <w:t>增值服务方案内容丰富、可行性强、针对性强且服务项目多样化</w:t>
            </w:r>
            <w:r w:rsidRPr="00863015">
              <w:rPr>
                <w:rFonts w:ascii="宋体" w:eastAsia="宋体" w:hAnsi="宋体" w:hint="eastAsia"/>
                <w:szCs w:val="21"/>
                <w:shd w:val="clear" w:color="auto" w:fill="FFFFFF"/>
              </w:rPr>
              <w:t>得</w:t>
            </w:r>
            <w:r w:rsidR="00D739C3">
              <w:rPr>
                <w:rFonts w:ascii="宋体" w:eastAsia="宋体" w:hAnsi="宋体"/>
                <w:szCs w:val="21"/>
                <w:shd w:val="clear" w:color="auto" w:fill="FFFFFF"/>
              </w:rPr>
              <w:t>4</w:t>
            </w:r>
            <w:r w:rsidRPr="00863015">
              <w:rPr>
                <w:rFonts w:ascii="宋体" w:eastAsia="宋体" w:hAnsi="宋体" w:hint="eastAsia"/>
                <w:szCs w:val="21"/>
                <w:shd w:val="clear" w:color="auto" w:fill="FFFFFF"/>
              </w:rPr>
              <w:t>分</w:t>
            </w:r>
            <w:r w:rsidRPr="00863015">
              <w:rPr>
                <w:rFonts w:ascii="宋体" w:eastAsia="宋体" w:hAnsi="宋体" w:hint="eastAsia"/>
                <w:color w:val="000000"/>
              </w:rPr>
              <w:t>；</w:t>
            </w:r>
          </w:p>
          <w:p w14:paraId="21C78DF6" w14:textId="330DFEA9" w:rsidR="00863015" w:rsidRPr="00863015" w:rsidRDefault="00863015" w:rsidP="00863015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/>
              </w:rPr>
            </w:pPr>
            <w:r w:rsidRPr="00863015">
              <w:rPr>
                <w:rFonts w:ascii="宋体" w:eastAsia="宋体" w:hAnsi="宋体" w:hint="eastAsia"/>
                <w:color w:val="000000"/>
              </w:rPr>
              <w:t>增值服务方案合理，有一定针对性的</w:t>
            </w:r>
            <w:r>
              <w:rPr>
                <w:rFonts w:ascii="宋体" w:eastAsia="宋体" w:hAnsi="宋体" w:hint="eastAsia"/>
                <w:color w:val="000000"/>
              </w:rPr>
              <w:t>：</w:t>
            </w:r>
            <w:r w:rsidR="00D739C3">
              <w:rPr>
                <w:rFonts w:ascii="宋体" w:eastAsia="宋体" w:hAnsi="宋体"/>
                <w:color w:val="000000"/>
              </w:rPr>
              <w:t>2</w:t>
            </w:r>
            <w:r w:rsidRPr="00863015">
              <w:rPr>
                <w:rFonts w:ascii="宋体" w:eastAsia="宋体" w:hAnsi="宋体" w:hint="eastAsia"/>
                <w:color w:val="000000"/>
              </w:rPr>
              <w:t>分；</w:t>
            </w:r>
          </w:p>
          <w:p w14:paraId="7F9DCD10" w14:textId="73A36DE9" w:rsidR="00863015" w:rsidRPr="00863015" w:rsidRDefault="00863015" w:rsidP="00863015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Chars="0"/>
              <w:rPr>
                <w:rFonts w:ascii="宋体" w:eastAsia="宋体" w:hAnsi="宋体"/>
                <w:szCs w:val="21"/>
                <w:shd w:val="clear" w:color="auto" w:fill="FFFFFF"/>
              </w:rPr>
            </w:pPr>
            <w:r w:rsidRPr="00863015">
              <w:rPr>
                <w:rFonts w:ascii="宋体" w:eastAsia="宋体" w:hAnsi="宋体" w:cs="Symbol" w:hint="eastAsia"/>
                <w:szCs w:val="21"/>
              </w:rPr>
              <w:t>增值服务</w:t>
            </w:r>
            <w:r w:rsidRPr="00863015">
              <w:rPr>
                <w:rFonts w:ascii="宋体" w:eastAsia="宋体" w:hAnsi="宋体" w:hint="eastAsia"/>
                <w:szCs w:val="21"/>
                <w:shd w:val="clear" w:color="auto" w:fill="FFFFFF"/>
              </w:rPr>
              <w:t>较少，针对性一般的</w:t>
            </w:r>
            <w:r>
              <w:rPr>
                <w:rFonts w:ascii="宋体" w:eastAsia="宋体" w:hAnsi="宋体" w:hint="eastAsia"/>
                <w:szCs w:val="21"/>
                <w:shd w:val="clear" w:color="auto" w:fill="FFFFFF"/>
              </w:rPr>
              <w:t>：</w:t>
            </w:r>
            <w:r w:rsidR="007E7660">
              <w:rPr>
                <w:rFonts w:ascii="宋体" w:eastAsia="宋体" w:hAnsi="宋体" w:hint="eastAsia"/>
                <w:szCs w:val="21"/>
                <w:shd w:val="clear" w:color="auto" w:fill="FFFFFF"/>
              </w:rPr>
              <w:t>1</w:t>
            </w:r>
            <w:r w:rsidRPr="00863015">
              <w:rPr>
                <w:rFonts w:ascii="宋体" w:eastAsia="宋体" w:hAnsi="宋体" w:hint="eastAsia"/>
                <w:szCs w:val="21"/>
                <w:shd w:val="clear" w:color="auto" w:fill="FFFFFF"/>
              </w:rPr>
              <w:t>分。</w:t>
            </w:r>
          </w:p>
          <w:p w14:paraId="4A62E5E3" w14:textId="1A15E7EC" w:rsidR="000271CA" w:rsidRPr="00863015" w:rsidRDefault="00863015" w:rsidP="000271CA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863015">
              <w:rPr>
                <w:rFonts w:ascii="宋体" w:eastAsia="宋体" w:hAnsi="宋体" w:cs="Symbol" w:hint="eastAsia"/>
                <w:szCs w:val="21"/>
              </w:rPr>
              <w:t>未提供本项内容</w:t>
            </w:r>
            <w:r>
              <w:rPr>
                <w:rFonts w:ascii="宋体" w:eastAsia="宋体" w:hAnsi="宋体" w:cs="Symbol" w:hint="eastAsia"/>
                <w:szCs w:val="21"/>
              </w:rPr>
              <w:t>：0</w:t>
            </w:r>
            <w:r w:rsidRPr="00863015">
              <w:rPr>
                <w:rFonts w:ascii="宋体" w:eastAsia="宋体" w:hAnsi="宋体" w:cs="Symbol" w:hint="eastAsia"/>
                <w:szCs w:val="21"/>
              </w:rPr>
              <w:t>分。</w:t>
            </w:r>
            <w:bookmarkEnd w:id="2"/>
          </w:p>
        </w:tc>
        <w:tc>
          <w:tcPr>
            <w:tcW w:w="426" w:type="pct"/>
            <w:vAlign w:val="center"/>
          </w:tcPr>
          <w:p w14:paraId="4F1A13B9" w14:textId="581F0EB8" w:rsidR="000271CA" w:rsidRPr="000271CA" w:rsidRDefault="00D739C3" w:rsidP="00C62D6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</w:tr>
      <w:tr w:rsidR="00FB4CAB" w14:paraId="4B0CFFD9" w14:textId="77777777" w:rsidTr="00FD4F42">
        <w:trPr>
          <w:trHeight w:val="1266"/>
        </w:trPr>
        <w:tc>
          <w:tcPr>
            <w:tcW w:w="811" w:type="pct"/>
            <w:vAlign w:val="center"/>
          </w:tcPr>
          <w:p w14:paraId="5B39C51A" w14:textId="335FDBE5" w:rsidR="00FB4CAB" w:rsidRDefault="00FB4CAB" w:rsidP="00FB4CA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投入本项目人员配备情况（1</w:t>
            </w:r>
            <w:r w:rsidR="00953B46"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2BA349F4" w14:textId="68CD7F1C" w:rsidR="00FB4CAB" w:rsidRDefault="005062A6" w:rsidP="00FB4CAB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5062A6">
              <w:rPr>
                <w:rFonts w:ascii="宋体" w:eastAsia="宋体" w:hAnsi="宋体" w:hint="eastAsia"/>
                <w:b/>
                <w:bCs/>
                <w:szCs w:val="21"/>
              </w:rPr>
              <w:t>（1）</w:t>
            </w:r>
            <w:r w:rsidR="00FB4CAB" w:rsidRPr="005062A6">
              <w:rPr>
                <w:rFonts w:ascii="宋体" w:eastAsia="宋体" w:hAnsi="宋体" w:hint="eastAsia"/>
                <w:b/>
                <w:bCs/>
                <w:szCs w:val="21"/>
              </w:rPr>
              <w:t>项目管理人员（</w:t>
            </w:r>
            <w:r w:rsidR="00953B46"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  <w:r w:rsidR="00FB4CAB" w:rsidRPr="005062A6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1684C751" w14:textId="55D80E4C" w:rsidR="00FB4CAB" w:rsidRDefault="00FB4CAB" w:rsidP="00FB4CAB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配备具有环境工程专业</w:t>
            </w:r>
            <w:r w:rsidR="00953B46">
              <w:rPr>
                <w:rFonts w:ascii="宋体" w:eastAsia="宋体" w:hAnsi="宋体" w:hint="eastAsia"/>
                <w:szCs w:val="21"/>
              </w:rPr>
              <w:t>高</w:t>
            </w:r>
            <w:r>
              <w:rPr>
                <w:rFonts w:ascii="宋体" w:eastAsia="宋体" w:hAnsi="宋体" w:hint="eastAsia"/>
                <w:szCs w:val="21"/>
              </w:rPr>
              <w:t>级职称的项目管理人员得</w:t>
            </w:r>
            <w:r w:rsidR="00953B46"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分，</w:t>
            </w:r>
            <w:r w:rsidR="00953B46">
              <w:rPr>
                <w:rFonts w:ascii="宋体" w:eastAsia="宋体" w:hAnsi="宋体" w:hint="eastAsia"/>
                <w:szCs w:val="21"/>
              </w:rPr>
              <w:t>中级职称的项目管理人员得2分，</w:t>
            </w:r>
            <w:r>
              <w:rPr>
                <w:rFonts w:ascii="宋体" w:eastAsia="宋体" w:hAnsi="宋体" w:hint="eastAsia"/>
                <w:szCs w:val="21"/>
              </w:rPr>
              <w:t>未配备不得分。</w:t>
            </w:r>
          </w:p>
          <w:p w14:paraId="13B4ABE9" w14:textId="4FEE3002" w:rsidR="00FB4CAB" w:rsidRPr="005062A6" w:rsidRDefault="005062A6" w:rsidP="00FB4CAB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5062A6">
              <w:rPr>
                <w:rFonts w:ascii="宋体" w:eastAsia="宋体" w:hAnsi="宋体" w:hint="eastAsia"/>
                <w:b/>
                <w:bCs/>
                <w:szCs w:val="21"/>
              </w:rPr>
              <w:t>（2）</w:t>
            </w:r>
            <w:r w:rsidR="00FB4CAB" w:rsidRPr="005062A6">
              <w:rPr>
                <w:rFonts w:ascii="宋体" w:eastAsia="宋体" w:hAnsi="宋体" w:hint="eastAsia"/>
                <w:b/>
                <w:bCs/>
                <w:szCs w:val="21"/>
              </w:rPr>
              <w:t>专业技术人员（</w:t>
            </w:r>
            <w:r w:rsidR="00953B46">
              <w:rPr>
                <w:rFonts w:ascii="宋体" w:eastAsia="宋体" w:hAnsi="宋体" w:hint="eastAsia"/>
                <w:b/>
                <w:bCs/>
                <w:szCs w:val="21"/>
              </w:rPr>
              <w:t>10</w:t>
            </w:r>
            <w:r w:rsidR="00FB4CAB" w:rsidRPr="005062A6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2A5D02E5" w14:textId="7842F8D2" w:rsidR="0012543B" w:rsidRDefault="0012543B" w:rsidP="00FB4CAB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项目人员须满足以下证书要求，同一人员多类证书不重复计分，满分8分：未提供不得分；</w:t>
            </w:r>
          </w:p>
          <w:p w14:paraId="693B06DF" w14:textId="6B40CED6" w:rsidR="0012543B" w:rsidRDefault="0012543B" w:rsidP="0012543B">
            <w:pPr>
              <w:pStyle w:val="a4"/>
              <w:numPr>
                <w:ilvl w:val="0"/>
                <w:numId w:val="5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持有低压电工或高压电工证：2分</w:t>
            </w:r>
          </w:p>
          <w:p w14:paraId="22362C05" w14:textId="1CC6A548" w:rsidR="0012543B" w:rsidRDefault="0012543B" w:rsidP="0012543B">
            <w:pPr>
              <w:pStyle w:val="a4"/>
              <w:numPr>
                <w:ilvl w:val="0"/>
                <w:numId w:val="5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持有高处作业证：2分</w:t>
            </w:r>
          </w:p>
          <w:p w14:paraId="4E81DACB" w14:textId="134A03F0" w:rsidR="0012543B" w:rsidRDefault="0012543B" w:rsidP="0012543B">
            <w:pPr>
              <w:pStyle w:val="a4"/>
              <w:numPr>
                <w:ilvl w:val="0"/>
                <w:numId w:val="5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持有焊接与热切割作业证：2分</w:t>
            </w:r>
          </w:p>
          <w:p w14:paraId="7EDF3F32" w14:textId="3B8AD1BE" w:rsidR="00FB4CAB" w:rsidRDefault="0012543B" w:rsidP="0012543B">
            <w:pPr>
              <w:pStyle w:val="a4"/>
              <w:numPr>
                <w:ilvl w:val="0"/>
                <w:numId w:val="5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持有</w:t>
            </w:r>
            <w:r w:rsidR="00953B46">
              <w:rPr>
                <w:rFonts w:ascii="宋体" w:eastAsia="宋体" w:hAnsi="宋体" w:hint="eastAsia"/>
                <w:szCs w:val="21"/>
              </w:rPr>
              <w:t>特种设备管理A证</w:t>
            </w:r>
            <w:r>
              <w:rPr>
                <w:rFonts w:ascii="宋体" w:eastAsia="宋体" w:hAnsi="宋体" w:hint="eastAsia"/>
                <w:szCs w:val="21"/>
              </w:rPr>
              <w:t>：2分</w:t>
            </w:r>
          </w:p>
          <w:p w14:paraId="2906398A" w14:textId="76B2E15F" w:rsidR="00953B46" w:rsidRPr="0012543B" w:rsidRDefault="00953B46" w:rsidP="0012543B">
            <w:pPr>
              <w:pStyle w:val="a4"/>
              <w:numPr>
                <w:ilvl w:val="0"/>
                <w:numId w:val="5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持有安全生产知识和管理能力考核合格证（安全生产管理人员）：2分</w:t>
            </w:r>
          </w:p>
          <w:p w14:paraId="524B4FD5" w14:textId="3D8EA150" w:rsidR="00FB4CAB" w:rsidRDefault="00FB4CAB" w:rsidP="00FB4CAB">
            <w:pPr>
              <w:spacing w:after="0" w:line="24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注：</w:t>
            </w:r>
            <w:r w:rsidR="00CF7026">
              <w:rPr>
                <w:rFonts w:ascii="宋体" w:eastAsia="宋体" w:hAnsi="宋体" w:hint="eastAsia"/>
                <w:szCs w:val="21"/>
              </w:rPr>
              <w:t>响应</w:t>
            </w:r>
            <w:r>
              <w:rPr>
                <w:rFonts w:ascii="宋体" w:eastAsia="宋体" w:hAnsi="宋体" w:hint="eastAsia"/>
                <w:szCs w:val="21"/>
              </w:rPr>
              <w:t>文件中须提供</w:t>
            </w:r>
            <w:r w:rsidR="0012543B">
              <w:rPr>
                <w:rFonts w:ascii="宋体" w:eastAsia="宋体" w:hAnsi="宋体" w:hint="eastAsia"/>
                <w:szCs w:val="21"/>
              </w:rPr>
              <w:t>所有</w:t>
            </w:r>
            <w:r>
              <w:rPr>
                <w:rFonts w:ascii="宋体" w:eastAsia="宋体" w:hAnsi="宋体" w:hint="eastAsia"/>
                <w:szCs w:val="21"/>
              </w:rPr>
              <w:t>证书复印件，原件备查</w:t>
            </w:r>
            <w:r w:rsidR="0012543B">
              <w:rPr>
                <w:rFonts w:ascii="宋体" w:eastAsia="宋体" w:hAnsi="宋体" w:hint="eastAsia"/>
                <w:szCs w:val="21"/>
              </w:rPr>
              <w:t>，且证书须在有效期内，否则不予计分；</w:t>
            </w:r>
            <w:bookmarkStart w:id="3" w:name="OLE_LINK39"/>
            <w:r>
              <w:rPr>
                <w:rFonts w:ascii="宋体" w:eastAsia="宋体" w:hAnsi="宋体" w:hint="eastAsia"/>
                <w:szCs w:val="21"/>
              </w:rPr>
              <w:t>颁发证书的机构需为政府部门或行政主管部门备案许可机构</w:t>
            </w:r>
            <w:bookmarkEnd w:id="3"/>
            <w:r w:rsidR="0012543B">
              <w:rPr>
                <w:rFonts w:ascii="宋体" w:eastAsia="宋体" w:hAnsi="宋体" w:hint="eastAsia"/>
                <w:szCs w:val="21"/>
              </w:rPr>
              <w:t>；</w:t>
            </w:r>
            <w:r w:rsidR="00CF7026">
              <w:rPr>
                <w:rFonts w:ascii="宋体" w:eastAsia="宋体" w:hAnsi="宋体" w:hint="eastAsia"/>
                <w:b/>
                <w:bCs/>
                <w:szCs w:val="21"/>
              </w:rPr>
              <w:t>响应</w:t>
            </w:r>
            <w:r w:rsidRPr="005062A6">
              <w:rPr>
                <w:rFonts w:ascii="宋体" w:eastAsia="宋体" w:hAnsi="宋体" w:hint="eastAsia"/>
                <w:b/>
                <w:bCs/>
                <w:szCs w:val="21"/>
              </w:rPr>
              <w:t>文件中需提供以上人员在</w:t>
            </w:r>
            <w:r w:rsidR="00CF7026">
              <w:rPr>
                <w:rFonts w:ascii="宋体" w:eastAsia="宋体" w:hAnsi="宋体" w:hint="eastAsia"/>
                <w:b/>
                <w:bCs/>
                <w:szCs w:val="21"/>
              </w:rPr>
              <w:t>响应</w:t>
            </w:r>
            <w:r w:rsidRPr="005062A6">
              <w:rPr>
                <w:rFonts w:ascii="宋体" w:eastAsia="宋体" w:hAnsi="宋体" w:hint="eastAsia"/>
                <w:b/>
                <w:bCs/>
                <w:szCs w:val="21"/>
              </w:rPr>
              <w:t>单位近六个月内任意一个月缴纳社保的证明材料，未提供或提供资料有误不予计分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6" w:type="pct"/>
            <w:vAlign w:val="center"/>
          </w:tcPr>
          <w:p w14:paraId="2E4292F8" w14:textId="78909896" w:rsidR="00FB4CAB" w:rsidRDefault="00FB4CAB" w:rsidP="00FB4CAB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953B46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5715D" w14:paraId="0AD03673" w14:textId="77777777" w:rsidTr="00FD4F42">
        <w:trPr>
          <w:trHeight w:val="1266"/>
        </w:trPr>
        <w:tc>
          <w:tcPr>
            <w:tcW w:w="811" w:type="pct"/>
            <w:vMerge w:val="restart"/>
            <w:vAlign w:val="center"/>
          </w:tcPr>
          <w:p w14:paraId="01D60760" w14:textId="0C4F9B55" w:rsidR="0025715D" w:rsidRDefault="0025715D" w:rsidP="00FB4CA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能力与业绩（20分）</w:t>
            </w:r>
          </w:p>
        </w:tc>
        <w:tc>
          <w:tcPr>
            <w:tcW w:w="3763" w:type="pct"/>
            <w:vAlign w:val="center"/>
          </w:tcPr>
          <w:p w14:paraId="210DF018" w14:textId="404293EF" w:rsidR="0025715D" w:rsidRPr="005062A6" w:rsidRDefault="005062A6" w:rsidP="0053100B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5062A6">
              <w:rPr>
                <w:rFonts w:ascii="宋体" w:eastAsia="宋体" w:hAnsi="宋体" w:hint="eastAsia"/>
                <w:b/>
                <w:bCs/>
                <w:szCs w:val="21"/>
              </w:rPr>
              <w:t>（1）</w:t>
            </w:r>
            <w:r w:rsidR="0025715D" w:rsidRPr="005062A6">
              <w:rPr>
                <w:rFonts w:ascii="宋体" w:eastAsia="宋体" w:hAnsi="宋体" w:hint="eastAsia"/>
                <w:b/>
                <w:bCs/>
                <w:szCs w:val="21"/>
              </w:rPr>
              <w:t>类似项目业绩（12分）</w:t>
            </w:r>
          </w:p>
          <w:p w14:paraId="50BB5AF0" w14:textId="6556A521" w:rsidR="0025715D" w:rsidRDefault="005062A6" w:rsidP="0053100B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供应商</w:t>
            </w:r>
            <w:r w:rsidR="0025715D" w:rsidRPr="0012543B">
              <w:rPr>
                <w:rFonts w:ascii="宋体" w:eastAsia="宋体" w:hAnsi="宋体" w:hint="eastAsia"/>
                <w:szCs w:val="21"/>
              </w:rPr>
              <w:t>提供近三年（自</w:t>
            </w:r>
            <w:r w:rsidR="00CF7026">
              <w:rPr>
                <w:rFonts w:ascii="宋体" w:eastAsia="宋体" w:hAnsi="宋体" w:hint="eastAsia"/>
                <w:szCs w:val="21"/>
              </w:rPr>
              <w:t>响应</w:t>
            </w:r>
            <w:r w:rsidR="0025715D" w:rsidRPr="0012543B">
              <w:rPr>
                <w:rFonts w:ascii="宋体" w:eastAsia="宋体" w:hAnsi="宋体" w:hint="eastAsia"/>
                <w:szCs w:val="21"/>
              </w:rPr>
              <w:t>截止时间倒推36个月）</w:t>
            </w:r>
            <w:r w:rsidR="0025715D">
              <w:rPr>
                <w:rFonts w:ascii="宋体" w:eastAsia="宋体" w:hAnsi="宋体" w:hint="eastAsia"/>
                <w:szCs w:val="21"/>
              </w:rPr>
              <w:t>类似</w:t>
            </w:r>
            <w:r w:rsidR="0025715D" w:rsidRPr="0012543B">
              <w:rPr>
                <w:rFonts w:ascii="宋体" w:eastAsia="宋体" w:hAnsi="宋体" w:hint="eastAsia"/>
                <w:szCs w:val="21"/>
              </w:rPr>
              <w:t>实验室系统维保类似业绩，要求</w:t>
            </w:r>
          </w:p>
          <w:p w14:paraId="3DEFB488" w14:textId="4C9379FA" w:rsidR="0025715D" w:rsidRPr="00C62D6B" w:rsidRDefault="0025715D" w:rsidP="00C62D6B">
            <w:pPr>
              <w:pStyle w:val="a4"/>
              <w:numPr>
                <w:ilvl w:val="0"/>
                <w:numId w:val="6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C62D6B">
              <w:rPr>
                <w:rFonts w:ascii="宋体" w:eastAsia="宋体" w:hAnsi="宋体" w:hint="eastAsia"/>
                <w:szCs w:val="21"/>
              </w:rPr>
              <w:t>3份实验室通风柜系统或废气净化设备维保的相关业绩，</w:t>
            </w:r>
          </w:p>
          <w:p w14:paraId="4865182E" w14:textId="77777777" w:rsidR="0025715D" w:rsidRPr="00C62D6B" w:rsidRDefault="0025715D" w:rsidP="00C62D6B">
            <w:pPr>
              <w:pStyle w:val="a4"/>
              <w:numPr>
                <w:ilvl w:val="0"/>
                <w:numId w:val="6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C62D6B">
              <w:rPr>
                <w:rFonts w:ascii="宋体" w:eastAsia="宋体" w:hAnsi="宋体" w:hint="eastAsia"/>
                <w:szCs w:val="21"/>
              </w:rPr>
              <w:t>1份超净实验室相关维保业绩：</w:t>
            </w:r>
          </w:p>
          <w:p w14:paraId="5E2E82A9" w14:textId="395766C9" w:rsidR="0025715D" w:rsidRDefault="0025715D" w:rsidP="0053100B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每提供一个有效证明材料得3分，满分12分。</w:t>
            </w:r>
          </w:p>
          <w:p w14:paraId="0AE59464" w14:textId="16676B83" w:rsidR="0025715D" w:rsidRDefault="0025715D" w:rsidP="0053100B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注：提供合同复印件加盖公章，时间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以合同签订时间为准</w:t>
            </w:r>
            <w:r>
              <w:rPr>
                <w:rFonts w:ascii="宋体" w:eastAsia="宋体" w:hAnsi="宋体" w:hint="eastAsia"/>
                <w:szCs w:val="21"/>
              </w:rPr>
              <w:t>，原件备查；</w:t>
            </w:r>
            <w:r w:rsidRPr="00C62D6B">
              <w:rPr>
                <w:rFonts w:ascii="宋体" w:eastAsia="宋体" w:hAnsi="宋体" w:hint="eastAsia"/>
                <w:szCs w:val="21"/>
              </w:rPr>
              <w:t>合同复印件上合同双方公章、签署时间等关键信息必须清晰可见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C62D6B">
              <w:rPr>
                <w:rFonts w:ascii="宋体" w:eastAsia="宋体" w:hAnsi="宋体" w:hint="eastAsia"/>
                <w:szCs w:val="21"/>
              </w:rPr>
              <w:t>同一采购人不同时间合同，仅算一份业绩</w:t>
            </w:r>
            <w:r w:rsidR="007E7660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6" w:type="pct"/>
            <w:vAlign w:val="center"/>
          </w:tcPr>
          <w:p w14:paraId="247A81BF" w14:textId="4CDCD4D4" w:rsidR="0025715D" w:rsidRDefault="0025715D" w:rsidP="00C62D6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</w:tr>
      <w:tr w:rsidR="0025715D" w14:paraId="5E5D39B5" w14:textId="77777777" w:rsidTr="00FD4F42">
        <w:trPr>
          <w:trHeight w:val="1266"/>
        </w:trPr>
        <w:tc>
          <w:tcPr>
            <w:tcW w:w="811" w:type="pct"/>
            <w:vMerge/>
            <w:vAlign w:val="center"/>
          </w:tcPr>
          <w:p w14:paraId="60AE1FA4" w14:textId="77777777" w:rsidR="0025715D" w:rsidRDefault="0025715D" w:rsidP="00FB4CA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4A6DE5E2" w14:textId="7DD96D0C" w:rsidR="0025715D" w:rsidRPr="005062A6" w:rsidRDefault="005062A6" w:rsidP="0053100B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5062A6">
              <w:rPr>
                <w:rFonts w:ascii="宋体" w:eastAsia="宋体" w:hAnsi="宋体" w:hint="eastAsia"/>
                <w:b/>
                <w:bCs/>
                <w:szCs w:val="21"/>
              </w:rPr>
              <w:t>（2）</w:t>
            </w:r>
            <w:r w:rsidR="0025715D" w:rsidRPr="005062A6">
              <w:rPr>
                <w:rFonts w:ascii="宋体" w:eastAsia="宋体" w:hAnsi="宋体" w:hint="eastAsia"/>
                <w:b/>
                <w:bCs/>
                <w:szCs w:val="21"/>
              </w:rPr>
              <w:t>体系认证（3分）</w:t>
            </w:r>
          </w:p>
          <w:p w14:paraId="17112EEC" w14:textId="045ED718" w:rsidR="0025715D" w:rsidRPr="00C62D6B" w:rsidRDefault="005062A6" w:rsidP="00C62D6B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供应商</w:t>
            </w:r>
            <w:r w:rsidR="0025715D" w:rsidRPr="00C62D6B">
              <w:rPr>
                <w:rFonts w:ascii="宋体" w:eastAsia="宋体" w:hAnsi="宋体" w:hint="eastAsia"/>
                <w:szCs w:val="21"/>
              </w:rPr>
              <w:t>具备以下体系认证，每提供1项得1分，满分3</w:t>
            </w:r>
            <w:r w:rsidR="0025715D">
              <w:rPr>
                <w:rFonts w:ascii="宋体" w:eastAsia="宋体" w:hAnsi="宋体" w:hint="eastAsia"/>
                <w:szCs w:val="21"/>
              </w:rPr>
              <w:t>分</w:t>
            </w:r>
            <w:r w:rsidR="0025715D" w:rsidRPr="00C62D6B">
              <w:rPr>
                <w:rFonts w:ascii="宋体" w:eastAsia="宋体" w:hAnsi="宋体" w:hint="eastAsia"/>
                <w:szCs w:val="21"/>
              </w:rPr>
              <w:t>：</w:t>
            </w:r>
          </w:p>
          <w:p w14:paraId="0941D7A0" w14:textId="61084D00" w:rsidR="0025715D" w:rsidRPr="00C62D6B" w:rsidRDefault="0025715D" w:rsidP="00C62D6B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bookmarkStart w:id="4" w:name="OLE_LINK40"/>
            <w:r w:rsidRPr="00C62D6B">
              <w:rPr>
                <w:rFonts w:ascii="宋体" w:eastAsia="宋体" w:hAnsi="宋体" w:hint="eastAsia"/>
                <w:szCs w:val="21"/>
              </w:rPr>
              <w:t>ISO9001质量管理体系认证</w:t>
            </w:r>
          </w:p>
          <w:bookmarkEnd w:id="4"/>
          <w:p w14:paraId="3DF9B7F8" w14:textId="167EF1DD" w:rsidR="0025715D" w:rsidRPr="00C62D6B" w:rsidRDefault="0025715D" w:rsidP="00C62D6B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C62D6B">
              <w:rPr>
                <w:rFonts w:ascii="宋体" w:eastAsia="宋体" w:hAnsi="宋体" w:hint="eastAsia"/>
                <w:szCs w:val="21"/>
              </w:rPr>
              <w:t>ISO45001职业健康安全管理体系认证</w:t>
            </w:r>
          </w:p>
          <w:p w14:paraId="30136A54" w14:textId="1F115E3D" w:rsidR="0025715D" w:rsidRPr="00C62D6B" w:rsidRDefault="0025715D" w:rsidP="00C62D6B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C62D6B">
              <w:rPr>
                <w:rFonts w:ascii="宋体" w:eastAsia="宋体" w:hAnsi="宋体" w:hint="eastAsia"/>
                <w:szCs w:val="21"/>
              </w:rPr>
              <w:t>ISO14001环境管理体系认证</w:t>
            </w:r>
          </w:p>
          <w:p w14:paraId="1300C51A" w14:textId="35E18522" w:rsidR="0025715D" w:rsidRPr="0012543B" w:rsidRDefault="0025715D" w:rsidP="00C62D6B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C62D6B">
              <w:rPr>
                <w:rFonts w:ascii="宋体" w:eastAsia="宋体" w:hAnsi="宋体" w:hint="eastAsia"/>
                <w:szCs w:val="21"/>
              </w:rPr>
              <w:t>（</w:t>
            </w:r>
            <w:r w:rsidR="00953B46" w:rsidRPr="00953B46">
              <w:rPr>
                <w:rFonts w:ascii="宋体" w:eastAsia="宋体" w:hAnsi="宋体"/>
                <w:szCs w:val="21"/>
              </w:rPr>
              <w:t>认证范围须包含</w:t>
            </w:r>
            <w:r w:rsidR="00953B46">
              <w:rPr>
                <w:rFonts w:ascii="宋体" w:eastAsia="宋体" w:hAnsi="宋体" w:hint="eastAsia"/>
                <w:szCs w:val="21"/>
              </w:rPr>
              <w:t>环保相关、</w:t>
            </w:r>
            <w:r w:rsidR="00953B46" w:rsidRPr="00953B46">
              <w:rPr>
                <w:rFonts w:ascii="宋体" w:eastAsia="宋体" w:hAnsi="宋体"/>
                <w:szCs w:val="21"/>
              </w:rPr>
              <w:t>实验室机电设备、通风净化系统、超净实验室或实验室配套设施运维维保相关服务范畴</w:t>
            </w:r>
            <w:r w:rsidR="00C04538">
              <w:rPr>
                <w:rFonts w:ascii="宋体" w:eastAsia="宋体" w:hAnsi="宋体" w:hint="eastAsia"/>
                <w:szCs w:val="21"/>
              </w:rPr>
              <w:t>。</w:t>
            </w:r>
            <w:r w:rsidR="00CF7026">
              <w:rPr>
                <w:rFonts w:ascii="宋体" w:eastAsia="宋体" w:hAnsi="宋体" w:hint="eastAsia"/>
                <w:szCs w:val="21"/>
              </w:rPr>
              <w:t>响应</w:t>
            </w:r>
            <w:r w:rsidRPr="00C62D6B">
              <w:rPr>
                <w:rFonts w:ascii="宋体" w:eastAsia="宋体" w:hAnsi="宋体" w:hint="eastAsia"/>
                <w:szCs w:val="21"/>
              </w:rPr>
              <w:t>文件中须提供证书复印件，原件备查，证书须在有效期内）</w:t>
            </w:r>
          </w:p>
        </w:tc>
        <w:tc>
          <w:tcPr>
            <w:tcW w:w="426" w:type="pct"/>
            <w:vAlign w:val="center"/>
          </w:tcPr>
          <w:p w14:paraId="1F9626DA" w14:textId="2B2F3C24" w:rsidR="0025715D" w:rsidRDefault="0025715D" w:rsidP="00C62D6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5715D" w14:paraId="393C94BE" w14:textId="77777777" w:rsidTr="00FD4F42">
        <w:trPr>
          <w:trHeight w:val="1266"/>
        </w:trPr>
        <w:tc>
          <w:tcPr>
            <w:tcW w:w="811" w:type="pct"/>
            <w:vMerge/>
            <w:vAlign w:val="center"/>
          </w:tcPr>
          <w:p w14:paraId="5FBC012B" w14:textId="77777777" w:rsidR="0025715D" w:rsidRDefault="0025715D" w:rsidP="00FB4CA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bookmarkStart w:id="5" w:name="_Hlk226970670"/>
          </w:p>
        </w:tc>
        <w:tc>
          <w:tcPr>
            <w:tcW w:w="3763" w:type="pct"/>
            <w:vAlign w:val="center"/>
          </w:tcPr>
          <w:p w14:paraId="663FE849" w14:textId="474DF5D7" w:rsidR="0025715D" w:rsidRPr="005062A6" w:rsidRDefault="005062A6" w:rsidP="0025715D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5062A6">
              <w:rPr>
                <w:rFonts w:ascii="宋体" w:eastAsia="宋体" w:hAnsi="宋体" w:hint="eastAsia"/>
                <w:b/>
                <w:bCs/>
                <w:szCs w:val="21"/>
              </w:rPr>
              <w:t>（3）</w:t>
            </w:r>
            <w:r w:rsidR="0025715D" w:rsidRPr="005062A6">
              <w:rPr>
                <w:rFonts w:ascii="宋体" w:eastAsia="宋体" w:hAnsi="宋体" w:hint="eastAsia"/>
                <w:b/>
                <w:bCs/>
                <w:szCs w:val="21"/>
              </w:rPr>
              <w:t>企业实力（5分）</w:t>
            </w:r>
          </w:p>
          <w:p w14:paraId="210BE427" w14:textId="1942683B" w:rsidR="00C04538" w:rsidRDefault="005062A6" w:rsidP="00C04538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bookmarkStart w:id="6" w:name="OLE_LINK22"/>
            <w:r w:rsidRPr="00C04538">
              <w:rPr>
                <w:rFonts w:ascii="宋体" w:eastAsia="宋体" w:hAnsi="宋体" w:hint="eastAsia"/>
                <w:szCs w:val="21"/>
              </w:rPr>
              <w:t>供应商</w:t>
            </w:r>
            <w:r w:rsidR="00C04538" w:rsidRPr="00C04538">
              <w:rPr>
                <w:rFonts w:ascii="宋体" w:eastAsia="宋体" w:hAnsi="宋体"/>
                <w:szCs w:val="21"/>
              </w:rPr>
              <w:t>具有</w:t>
            </w:r>
            <w:r w:rsidR="00C04538" w:rsidRPr="00C04538">
              <w:rPr>
                <w:rFonts w:ascii="宋体" w:eastAsia="宋体" w:hAnsi="宋体"/>
                <w:b/>
                <w:bCs/>
                <w:szCs w:val="21"/>
              </w:rPr>
              <w:t>环境污染治理能力评价证书（工业</w:t>
            </w:r>
            <w:r w:rsidR="00C04538">
              <w:rPr>
                <w:rFonts w:ascii="宋体" w:eastAsia="宋体" w:hAnsi="宋体" w:hint="eastAsia"/>
                <w:b/>
                <w:bCs/>
                <w:szCs w:val="21"/>
              </w:rPr>
              <w:t>废气/实验室废气治理方向</w:t>
            </w:r>
            <w:r w:rsidR="00C04538" w:rsidRPr="00C04538">
              <w:rPr>
                <w:rFonts w:ascii="宋体" w:eastAsia="宋体" w:hAnsi="宋体"/>
                <w:b/>
                <w:bCs/>
                <w:szCs w:val="21"/>
              </w:rPr>
              <w:t>）</w:t>
            </w:r>
            <w:r w:rsidR="00C04538" w:rsidRPr="00C04538">
              <w:rPr>
                <w:rFonts w:ascii="宋体" w:eastAsia="宋体" w:hAnsi="宋体" w:hint="eastAsia"/>
                <w:szCs w:val="21"/>
              </w:rPr>
              <w:t>的</w:t>
            </w:r>
            <w:r w:rsidR="00C04538" w:rsidRPr="00C04538">
              <w:rPr>
                <w:rFonts w:ascii="宋体" w:eastAsia="宋体" w:hAnsi="宋体"/>
                <w:szCs w:val="21"/>
              </w:rPr>
              <w:t>（由省级及以上环保产业协会或</w:t>
            </w:r>
            <w:r w:rsidR="00C04538">
              <w:rPr>
                <w:rFonts w:ascii="宋体" w:eastAsia="宋体" w:hAnsi="宋体" w:hint="eastAsia"/>
                <w:szCs w:val="21"/>
              </w:rPr>
              <w:t>经主管部门备案的</w:t>
            </w:r>
            <w:r w:rsidR="00C04538" w:rsidRPr="00C04538">
              <w:rPr>
                <w:rFonts w:ascii="宋体" w:eastAsia="宋体" w:hAnsi="宋体"/>
                <w:szCs w:val="21"/>
              </w:rPr>
              <w:t>第三方权威机构颁发）</w:t>
            </w:r>
            <w:r w:rsidR="00C04538">
              <w:rPr>
                <w:rFonts w:ascii="宋体" w:eastAsia="宋体" w:hAnsi="宋体" w:hint="eastAsia"/>
                <w:szCs w:val="21"/>
              </w:rPr>
              <w:t>得3分</w:t>
            </w:r>
          </w:p>
          <w:p w14:paraId="71B1C12D" w14:textId="0795E076" w:rsidR="0025715D" w:rsidRPr="00C04538" w:rsidRDefault="0025715D" w:rsidP="00C04538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C04538">
              <w:rPr>
                <w:rFonts w:ascii="宋体" w:eastAsia="宋体" w:hAnsi="宋体" w:hint="eastAsia"/>
                <w:szCs w:val="21"/>
              </w:rPr>
              <w:t>具有实验室通风橱废气或污染治理设施远程管理相关软件著作权的</w:t>
            </w:r>
            <w:bookmarkEnd w:id="6"/>
            <w:r w:rsidRPr="00C04538">
              <w:rPr>
                <w:rFonts w:ascii="宋体" w:eastAsia="宋体" w:hAnsi="宋体" w:hint="eastAsia"/>
                <w:szCs w:val="21"/>
              </w:rPr>
              <w:t>，提供1份得</w:t>
            </w:r>
            <w:r w:rsidR="00C04538">
              <w:rPr>
                <w:rFonts w:ascii="宋体" w:eastAsia="宋体" w:hAnsi="宋体" w:hint="eastAsia"/>
                <w:szCs w:val="21"/>
              </w:rPr>
              <w:t>1</w:t>
            </w:r>
            <w:r w:rsidRPr="00C04538">
              <w:rPr>
                <w:rFonts w:ascii="宋体" w:eastAsia="宋体" w:hAnsi="宋体" w:hint="eastAsia"/>
                <w:szCs w:val="21"/>
              </w:rPr>
              <w:t>分，</w:t>
            </w:r>
            <w:r w:rsidR="00C04538">
              <w:rPr>
                <w:rFonts w:ascii="宋体" w:eastAsia="宋体" w:hAnsi="宋体" w:hint="eastAsia"/>
                <w:szCs w:val="21"/>
              </w:rPr>
              <w:t>最高得2</w:t>
            </w:r>
            <w:r w:rsidRPr="00C04538">
              <w:rPr>
                <w:rFonts w:ascii="宋体" w:eastAsia="宋体" w:hAnsi="宋体" w:hint="eastAsia"/>
                <w:szCs w:val="21"/>
              </w:rPr>
              <w:t>分。</w:t>
            </w:r>
          </w:p>
          <w:p w14:paraId="4A85AD1B" w14:textId="21D98E3B" w:rsidR="0025715D" w:rsidRPr="00C62D6B" w:rsidRDefault="0025715D" w:rsidP="0025715D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CF7026">
              <w:rPr>
                <w:rFonts w:ascii="宋体" w:eastAsia="宋体" w:hAnsi="宋体" w:hint="eastAsia"/>
                <w:szCs w:val="21"/>
              </w:rPr>
              <w:t>响应</w:t>
            </w:r>
            <w:r w:rsidRPr="0025715D">
              <w:rPr>
                <w:rFonts w:ascii="宋体" w:eastAsia="宋体" w:hAnsi="宋体" w:hint="eastAsia"/>
                <w:szCs w:val="21"/>
              </w:rPr>
              <w:t>文件中须提供证书复印件，原件备查。证书与</w:t>
            </w:r>
            <w:r w:rsidR="005062A6">
              <w:rPr>
                <w:rFonts w:ascii="宋体" w:eastAsia="宋体" w:hAnsi="宋体" w:hint="eastAsia"/>
                <w:szCs w:val="21"/>
              </w:rPr>
              <w:t>供应商</w:t>
            </w:r>
            <w:r w:rsidRPr="0025715D">
              <w:rPr>
                <w:rFonts w:ascii="宋体" w:eastAsia="宋体" w:hAnsi="宋体" w:hint="eastAsia"/>
                <w:szCs w:val="21"/>
              </w:rPr>
              <w:t>名称保持一致，否则不予计分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26" w:type="pct"/>
            <w:vAlign w:val="center"/>
          </w:tcPr>
          <w:p w14:paraId="054EC086" w14:textId="73B3EEC1" w:rsidR="0025715D" w:rsidRDefault="00CF0305" w:rsidP="00C62D6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bookmarkEnd w:id="5"/>
      <w:tr w:rsidR="00FB4CAB" w14:paraId="1E341268" w14:textId="77777777" w:rsidTr="00FD4F42">
        <w:trPr>
          <w:trHeight w:val="1266"/>
        </w:trPr>
        <w:tc>
          <w:tcPr>
            <w:tcW w:w="811" w:type="pct"/>
            <w:vAlign w:val="center"/>
          </w:tcPr>
          <w:p w14:paraId="37736A3D" w14:textId="77777777" w:rsidR="00FB4CAB" w:rsidRDefault="00FB4CAB" w:rsidP="00FB4CA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售后服务</w:t>
            </w:r>
          </w:p>
          <w:p w14:paraId="61BF73A3" w14:textId="484806AE" w:rsidR="00FB4CAB" w:rsidRDefault="00FB4CAB" w:rsidP="00FB4CA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C62D6B"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0A8223AA" w14:textId="2F1730C2" w:rsidR="005062A6" w:rsidRPr="005062A6" w:rsidRDefault="005062A6" w:rsidP="0025715D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5062A6">
              <w:rPr>
                <w:rFonts w:ascii="宋体" w:eastAsia="宋体" w:hAnsi="宋体" w:hint="eastAsia"/>
                <w:b/>
                <w:bCs/>
                <w:szCs w:val="21"/>
              </w:rPr>
              <w:t>（1）</w:t>
            </w:r>
            <w:r w:rsidR="00FB4CAB" w:rsidRPr="005062A6">
              <w:rPr>
                <w:rFonts w:ascii="宋体" w:eastAsia="宋体" w:hAnsi="宋体" w:hint="eastAsia"/>
                <w:b/>
                <w:bCs/>
                <w:szCs w:val="21"/>
              </w:rPr>
              <w:t>售后服务</w:t>
            </w:r>
            <w:r w:rsidRPr="005062A6">
              <w:rPr>
                <w:rFonts w:ascii="宋体" w:eastAsia="宋体" w:hAnsi="宋体" w:hint="eastAsia"/>
                <w:b/>
                <w:bCs/>
                <w:szCs w:val="21"/>
              </w:rPr>
              <w:t>（5分）</w:t>
            </w:r>
          </w:p>
          <w:p w14:paraId="08C41E04" w14:textId="48CA0DD9" w:rsidR="00FB4CAB" w:rsidRDefault="00FB4CAB" w:rsidP="0025715D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根据</w:t>
            </w:r>
            <w:r w:rsidR="005062A6">
              <w:rPr>
                <w:rFonts w:ascii="宋体" w:eastAsia="宋体" w:hAnsi="宋体" w:hint="eastAsia"/>
                <w:szCs w:val="21"/>
              </w:rPr>
              <w:t>供应商</w:t>
            </w:r>
            <w:r>
              <w:rPr>
                <w:rFonts w:ascii="宋体" w:eastAsia="宋体" w:hAnsi="宋体" w:hint="eastAsia"/>
                <w:szCs w:val="21"/>
              </w:rPr>
              <w:t>提供的售后服务体系、</w:t>
            </w:r>
            <w:r w:rsidR="00C62D6B">
              <w:rPr>
                <w:rFonts w:ascii="宋体" w:eastAsia="宋体" w:hAnsi="宋体" w:hint="eastAsia"/>
                <w:szCs w:val="21"/>
              </w:rPr>
              <w:t>响应时效、</w:t>
            </w:r>
            <w:r>
              <w:rPr>
                <w:rFonts w:ascii="宋体" w:eastAsia="宋体" w:hAnsi="宋体" w:hint="eastAsia"/>
                <w:szCs w:val="21"/>
              </w:rPr>
              <w:t>服务承诺、</w:t>
            </w:r>
            <w:r w:rsidR="00C62D6B">
              <w:rPr>
                <w:rFonts w:ascii="宋体" w:eastAsia="宋体" w:hAnsi="宋体" w:hint="eastAsia"/>
                <w:szCs w:val="21"/>
              </w:rPr>
              <w:t>培训方案评分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6B5586B4" w14:textId="0BEB5BD4" w:rsidR="0025715D" w:rsidRDefault="00FB4CAB" w:rsidP="0025715D">
            <w:pPr>
              <w:pStyle w:val="a4"/>
              <w:numPr>
                <w:ilvl w:val="0"/>
                <w:numId w:val="8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25715D">
              <w:rPr>
                <w:rFonts w:ascii="宋体" w:eastAsia="宋体" w:hAnsi="宋体" w:hint="eastAsia"/>
                <w:szCs w:val="21"/>
              </w:rPr>
              <w:t>方案详细，可操作性强，完全满足项目需要的</w:t>
            </w:r>
            <w:r w:rsidR="0025715D">
              <w:rPr>
                <w:rFonts w:ascii="宋体" w:eastAsia="宋体" w:hAnsi="宋体" w:hint="eastAsia"/>
                <w:szCs w:val="21"/>
              </w:rPr>
              <w:t>:5</w:t>
            </w:r>
            <w:r w:rsidRPr="0025715D">
              <w:rPr>
                <w:rFonts w:ascii="宋体" w:eastAsia="宋体" w:hAnsi="宋体" w:hint="eastAsia"/>
                <w:szCs w:val="21"/>
              </w:rPr>
              <w:t>分</w:t>
            </w:r>
          </w:p>
          <w:p w14:paraId="6E9820BF" w14:textId="1966A38C" w:rsidR="0025715D" w:rsidRDefault="00FB4CAB" w:rsidP="0025715D">
            <w:pPr>
              <w:pStyle w:val="a4"/>
              <w:numPr>
                <w:ilvl w:val="0"/>
                <w:numId w:val="8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25715D">
              <w:rPr>
                <w:rFonts w:ascii="宋体" w:eastAsia="宋体" w:hAnsi="宋体" w:hint="eastAsia"/>
                <w:szCs w:val="21"/>
              </w:rPr>
              <w:t>方案较详细，可操作性</w:t>
            </w:r>
            <w:r w:rsidR="0025715D">
              <w:rPr>
                <w:rFonts w:ascii="宋体" w:eastAsia="宋体" w:hAnsi="宋体" w:hint="eastAsia"/>
                <w:szCs w:val="21"/>
              </w:rPr>
              <w:t>一般</w:t>
            </w:r>
            <w:r w:rsidRPr="0025715D">
              <w:rPr>
                <w:rFonts w:ascii="宋体" w:eastAsia="宋体" w:hAnsi="宋体" w:hint="eastAsia"/>
                <w:szCs w:val="21"/>
              </w:rPr>
              <w:t>，基本满足项目需求</w:t>
            </w:r>
            <w:r w:rsidR="0025715D">
              <w:rPr>
                <w:rFonts w:ascii="宋体" w:eastAsia="宋体" w:hAnsi="宋体" w:hint="eastAsia"/>
                <w:szCs w:val="21"/>
              </w:rPr>
              <w:t>：3</w:t>
            </w:r>
            <w:r w:rsidRPr="0025715D">
              <w:rPr>
                <w:rFonts w:ascii="宋体" w:eastAsia="宋体" w:hAnsi="宋体" w:hint="eastAsia"/>
                <w:szCs w:val="21"/>
              </w:rPr>
              <w:t>分；</w:t>
            </w:r>
          </w:p>
          <w:p w14:paraId="469E9BCC" w14:textId="36F2D843" w:rsidR="00FB4CAB" w:rsidRPr="0025715D" w:rsidRDefault="00FB4CAB" w:rsidP="0025715D">
            <w:pPr>
              <w:pStyle w:val="a4"/>
              <w:numPr>
                <w:ilvl w:val="0"/>
                <w:numId w:val="8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25715D">
              <w:rPr>
                <w:rFonts w:ascii="宋体" w:eastAsia="宋体" w:hAnsi="宋体" w:hint="eastAsia"/>
                <w:szCs w:val="21"/>
              </w:rPr>
              <w:t>未描述或者完全不能满足</w:t>
            </w:r>
            <w:r w:rsidR="0025715D">
              <w:rPr>
                <w:rFonts w:ascii="宋体" w:eastAsia="宋体" w:hAnsi="宋体" w:hint="eastAsia"/>
                <w:szCs w:val="21"/>
              </w:rPr>
              <w:t>需求：</w:t>
            </w:r>
            <w:r w:rsidRPr="0025715D">
              <w:rPr>
                <w:rFonts w:ascii="宋体" w:eastAsia="宋体" w:hAnsi="宋体" w:hint="eastAsia"/>
                <w:szCs w:val="21"/>
              </w:rPr>
              <w:t>0分。</w:t>
            </w:r>
          </w:p>
        </w:tc>
        <w:tc>
          <w:tcPr>
            <w:tcW w:w="426" w:type="pct"/>
            <w:vAlign w:val="center"/>
          </w:tcPr>
          <w:p w14:paraId="4DCBCAE8" w14:textId="453EE799" w:rsidR="00FB4CAB" w:rsidRDefault="000271CA" w:rsidP="000271CA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</w:tbl>
    <w:p w14:paraId="72417893" w14:textId="77777777" w:rsidR="003F440C" w:rsidRDefault="003F440C"/>
    <w:sectPr w:rsidR="003F440C" w:rsidSect="00407A5F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3F1A1" w14:textId="77777777" w:rsidR="00A75116" w:rsidRDefault="00A75116">
      <w:pPr>
        <w:spacing w:line="240" w:lineRule="auto"/>
      </w:pPr>
      <w:r>
        <w:separator/>
      </w:r>
    </w:p>
  </w:endnote>
  <w:endnote w:type="continuationSeparator" w:id="0">
    <w:p w14:paraId="3A5E12EA" w14:textId="77777777" w:rsidR="00A75116" w:rsidRDefault="00A75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D3A5C" w14:textId="77777777" w:rsidR="00A75116" w:rsidRDefault="00A75116">
      <w:pPr>
        <w:spacing w:after="0"/>
      </w:pPr>
      <w:r>
        <w:separator/>
      </w:r>
    </w:p>
  </w:footnote>
  <w:footnote w:type="continuationSeparator" w:id="0">
    <w:p w14:paraId="7964E36B" w14:textId="77777777" w:rsidR="00A75116" w:rsidRDefault="00A751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A65F6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">
    <w:nsid w:val="204B12BC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>
    <w:nsid w:val="38BD6FBE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3">
    <w:nsid w:val="3BFF5832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">
    <w:nsid w:val="3F4B5691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5">
    <w:nsid w:val="6C4978B1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6">
    <w:nsid w:val="712B5808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7">
    <w:nsid w:val="71D704FE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8">
    <w:nsid w:val="7EFB288C"/>
    <w:multiLevelType w:val="multilevel"/>
    <w:tmpl w:val="0802A85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0C"/>
    <w:rsid w:val="000271CA"/>
    <w:rsid w:val="0012543B"/>
    <w:rsid w:val="00160CB4"/>
    <w:rsid w:val="00173982"/>
    <w:rsid w:val="001B221E"/>
    <w:rsid w:val="00245574"/>
    <w:rsid w:val="0025715D"/>
    <w:rsid w:val="002B2297"/>
    <w:rsid w:val="00302A3E"/>
    <w:rsid w:val="003F440C"/>
    <w:rsid w:val="00407A5F"/>
    <w:rsid w:val="0042401E"/>
    <w:rsid w:val="00426EC3"/>
    <w:rsid w:val="004372DC"/>
    <w:rsid w:val="005062A6"/>
    <w:rsid w:val="0053100B"/>
    <w:rsid w:val="006C4EC5"/>
    <w:rsid w:val="007E7660"/>
    <w:rsid w:val="00845D68"/>
    <w:rsid w:val="00863015"/>
    <w:rsid w:val="00875D9A"/>
    <w:rsid w:val="00953B46"/>
    <w:rsid w:val="009A0458"/>
    <w:rsid w:val="009A0FD4"/>
    <w:rsid w:val="009B4F78"/>
    <w:rsid w:val="009F655C"/>
    <w:rsid w:val="009F730B"/>
    <w:rsid w:val="00A45CD6"/>
    <w:rsid w:val="00A75116"/>
    <w:rsid w:val="00A81331"/>
    <w:rsid w:val="00B11CAA"/>
    <w:rsid w:val="00B506BB"/>
    <w:rsid w:val="00B770C5"/>
    <w:rsid w:val="00C04538"/>
    <w:rsid w:val="00C62D6B"/>
    <w:rsid w:val="00CF0305"/>
    <w:rsid w:val="00CF7026"/>
    <w:rsid w:val="00D739C3"/>
    <w:rsid w:val="00FB4CAB"/>
    <w:rsid w:val="00FD4F42"/>
    <w:rsid w:val="30B01CBD"/>
    <w:rsid w:val="3DD16049"/>
    <w:rsid w:val="5D1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8C3AF"/>
  <w15:docId w15:val="{F641BDDB-A590-44C8-9902-25B23D99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等线" w:eastAsia="等线" w:hAnsi="等线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unhideWhenUsed/>
    <w:rsid w:val="00173982"/>
    <w:pPr>
      <w:ind w:firstLineChars="200" w:firstLine="420"/>
    </w:pPr>
  </w:style>
  <w:style w:type="paragraph" w:styleId="a5">
    <w:name w:val="header"/>
    <w:basedOn w:val="a"/>
    <w:link w:val="Char"/>
    <w:rsid w:val="00D73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739C3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817</Words>
  <Characters>1072</Characters>
  <Application>Microsoft Office Word</Application>
  <DocSecurity>0</DocSecurity>
  <Lines>107</Lines>
  <Paragraphs>111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汪禹芹</cp:lastModifiedBy>
  <cp:revision>14</cp:revision>
  <dcterms:created xsi:type="dcterms:W3CDTF">2026-04-03T02:09:00Z</dcterms:created>
  <dcterms:modified xsi:type="dcterms:W3CDTF">2026-05-08T09:04:00Z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eyJoZGlkIjoiZWQ0NWVlMzY5OTg2OTA5MTY2ZmE0ODI3NzQ3NTc3OWEiLCJ1c2VySWQiOiIyNDYyNDMxNjIifQ==</vt:lpwstr>
  </property>
  <property fmtid="{D5CDD505-2E9C-101B-9397-08002B2CF9AE}" pid="4" name="ICV">
    <vt:lpwstr>3C717EE732534256A859C2E48ACB7662_12</vt:lpwstr>
  </property>
</Properties>
</file>